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0C61" w:rsidRDefault="00484474" w:rsidP="00190C61">
      <w:pPr>
        <w:jc w:val="center"/>
      </w:pPr>
      <w:bookmarkStart w:id="0" w:name="_GoBack"/>
      <w:bookmarkEnd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magine 1" o:spid="_x0000_i1025" type="#_x0000_t75" alt="images" style="width:52.5pt;height:57.45pt;visibility:visible">
            <v:imagedata r:id="rId8" o:title=""/>
          </v:shape>
        </w:pict>
      </w:r>
      <w:r w:rsidR="00190C61">
        <w:rPr>
          <w:noProof/>
        </w:rPr>
        <w:t xml:space="preserve">   </w:t>
      </w:r>
      <w:r>
        <w:rPr>
          <w:noProof/>
        </w:rPr>
        <w:pict>
          <v:shape id="Immagine 2" o:spid="_x0000_i1026" type="#_x0000_t75" style="width:127.15pt;height:47.55pt;visibility:visible">
            <v:imagedata r:id="rId9" o:title=""/>
          </v:shape>
        </w:pict>
      </w:r>
      <w:r w:rsidR="00190C61">
        <w:rPr>
          <w:noProof/>
        </w:rPr>
        <w:t xml:space="preserve">  </w:t>
      </w:r>
      <w:r>
        <w:rPr>
          <w:rFonts w:ascii="Verdana" w:hAnsi="Verdana"/>
          <w:noProof/>
        </w:rPr>
        <w:pict>
          <v:shape id="Immagine 3" o:spid="_x0000_i1027" type="#_x0000_t75" alt="uiltrasporti_new" style="width:77.6pt;height:53.85pt;visibility:visible">
            <v:imagedata r:id="rId10" o:title=""/>
          </v:shape>
        </w:pict>
      </w:r>
      <w:r>
        <w:rPr>
          <w:rFonts w:ascii="Verdana" w:hAnsi="Verdana"/>
          <w:noProof/>
        </w:rPr>
        <w:pict>
          <v:shape id="Immagine 37" o:spid="_x0000_i1028" type="#_x0000_t75" style="width:109.65pt;height:45.6pt;visibility:visible">
            <v:imagedata r:id="rId11" o:title=""/>
          </v:shape>
        </w:pict>
      </w:r>
      <w:r w:rsidR="00190C61">
        <w:rPr>
          <w:rFonts w:ascii="Verdana" w:hAnsi="Verdana"/>
          <w:noProof/>
        </w:rPr>
        <w:t xml:space="preserve">  </w:t>
      </w:r>
      <w:hyperlink r:id="rId12" w:history="1">
        <w:r>
          <w:rPr>
            <w:rFonts w:ascii="Verdana" w:hAnsi="Verdana"/>
            <w:b/>
            <w:noProof/>
          </w:rPr>
          <w:pict>
            <v:shape id="Immagine 5" o:spid="_x0000_i1029" type="#_x0000_t75" style="width:83.9pt;height:36.35pt;visibility:visible" o:button="t">
              <v:fill o:detectmouseclick="t"/>
              <v:imagedata r:id="rId13" o:title=""/>
            </v:shape>
          </w:pict>
        </w:r>
      </w:hyperlink>
    </w:p>
    <w:p w:rsidR="00190C61" w:rsidRDefault="00631961" w:rsidP="00631961">
      <w:pPr>
        <w:jc w:val="center"/>
        <w:rPr>
          <w:b/>
          <w:i/>
        </w:rPr>
      </w:pPr>
      <w:r>
        <w:rPr>
          <w:b/>
          <w:i/>
        </w:rPr>
        <w:t>RAPPRESENTANZE SINDACALI AZIENDALI Direzione Generale ROMA</w:t>
      </w:r>
    </w:p>
    <w:p w:rsidR="00631961" w:rsidRDefault="00631961" w:rsidP="00631961">
      <w:pPr>
        <w:jc w:val="center"/>
      </w:pPr>
    </w:p>
    <w:p w:rsidR="00422A9C" w:rsidRPr="00631961" w:rsidRDefault="006B5C18" w:rsidP="00BF4B3B">
      <w:pPr>
        <w:jc w:val="center"/>
        <w:rPr>
          <w:b/>
          <w:sz w:val="24"/>
          <w:szCs w:val="24"/>
        </w:rPr>
      </w:pPr>
      <w:r w:rsidRPr="00631961">
        <w:rPr>
          <w:b/>
          <w:sz w:val="24"/>
          <w:szCs w:val="24"/>
        </w:rPr>
        <w:t xml:space="preserve">TOWER CO: </w:t>
      </w:r>
      <w:r w:rsidR="00631961">
        <w:rPr>
          <w:b/>
          <w:sz w:val="24"/>
          <w:szCs w:val="24"/>
        </w:rPr>
        <w:t>OVVERO</w:t>
      </w:r>
      <w:r w:rsidRPr="00631961">
        <w:rPr>
          <w:b/>
          <w:sz w:val="24"/>
          <w:szCs w:val="24"/>
        </w:rPr>
        <w:t xml:space="preserve"> COME “</w:t>
      </w:r>
      <w:r w:rsidR="00741427" w:rsidRPr="00631961">
        <w:rPr>
          <w:b/>
          <w:sz w:val="24"/>
          <w:szCs w:val="24"/>
        </w:rPr>
        <w:t>LIBERARSI</w:t>
      </w:r>
      <w:r w:rsidRPr="00631961">
        <w:rPr>
          <w:b/>
          <w:sz w:val="24"/>
          <w:szCs w:val="24"/>
        </w:rPr>
        <w:t xml:space="preserve">” </w:t>
      </w:r>
      <w:r w:rsidR="00631961">
        <w:rPr>
          <w:b/>
          <w:sz w:val="24"/>
          <w:szCs w:val="24"/>
        </w:rPr>
        <w:t>DELLE</w:t>
      </w:r>
      <w:r w:rsidR="00741427" w:rsidRPr="00631961">
        <w:rPr>
          <w:b/>
          <w:sz w:val="24"/>
          <w:szCs w:val="24"/>
        </w:rPr>
        <w:t xml:space="preserve"> </w:t>
      </w:r>
      <w:r w:rsidRPr="00631961">
        <w:rPr>
          <w:b/>
          <w:sz w:val="24"/>
          <w:szCs w:val="24"/>
        </w:rPr>
        <w:t>RISORSE UMANE</w:t>
      </w:r>
    </w:p>
    <w:p w:rsidR="00190C61" w:rsidRPr="00190C61" w:rsidRDefault="00422A9C" w:rsidP="00BC3B4B">
      <w:pPr>
        <w:jc w:val="both"/>
        <w:rPr>
          <w:rFonts w:ascii="Tahoma" w:hAnsi="Tahoma" w:cs="Tahoma"/>
          <w:sz w:val="20"/>
          <w:szCs w:val="20"/>
        </w:rPr>
      </w:pPr>
      <w:r w:rsidRPr="00190C61">
        <w:rPr>
          <w:rFonts w:ascii="Tahoma" w:hAnsi="Tahoma" w:cs="Tahoma"/>
          <w:sz w:val="20"/>
          <w:szCs w:val="20"/>
        </w:rPr>
        <w:t xml:space="preserve">In questi giorni, in seguito ad uno scarno comunicato sulla Intranet aziendale che annunciava l’accoglimento di un’offerta da parte di un investitore estero, si sta consumando il destino dei lavoratori della società </w:t>
      </w:r>
      <w:proofErr w:type="spellStart"/>
      <w:r w:rsidRPr="00190C61">
        <w:rPr>
          <w:rFonts w:ascii="Tahoma" w:hAnsi="Tahoma" w:cs="Tahoma"/>
          <w:sz w:val="20"/>
          <w:szCs w:val="20"/>
        </w:rPr>
        <w:t>TowerCo</w:t>
      </w:r>
      <w:proofErr w:type="spellEnd"/>
      <w:r w:rsidRPr="00190C61">
        <w:rPr>
          <w:rFonts w:ascii="Tahoma" w:hAnsi="Tahoma" w:cs="Tahoma"/>
          <w:sz w:val="20"/>
          <w:szCs w:val="20"/>
        </w:rPr>
        <w:t xml:space="preserve">., nata piena di speranze ed ambizioni nel lontano 2003. </w:t>
      </w:r>
    </w:p>
    <w:p w:rsidR="00422A9C" w:rsidRPr="00190C61" w:rsidRDefault="00422A9C" w:rsidP="00BC3B4B">
      <w:pPr>
        <w:jc w:val="both"/>
        <w:rPr>
          <w:rFonts w:ascii="Tahoma" w:hAnsi="Tahoma" w:cs="Tahoma"/>
          <w:sz w:val="20"/>
          <w:szCs w:val="20"/>
        </w:rPr>
      </w:pPr>
      <w:r w:rsidRPr="00190C61">
        <w:rPr>
          <w:rFonts w:ascii="Tahoma" w:hAnsi="Tahoma" w:cs="Tahoma"/>
          <w:sz w:val="20"/>
          <w:szCs w:val="20"/>
        </w:rPr>
        <w:t xml:space="preserve">Mentre  vengono sbandierate da parte dell’Azienda iniziative di promozione della job rotation e di valorizzazione delle competenze e dei talenti delle risorse, nella realtà ci si libera di figure professionali altamente qualificate, abbandonate definitivamente nelle mani di un soggetto estero, per un progetto per il quale non vi è alcuna garanzia </w:t>
      </w:r>
      <w:r w:rsidR="008F7639" w:rsidRPr="00190C61">
        <w:rPr>
          <w:rFonts w:ascii="Tahoma" w:hAnsi="Tahoma" w:cs="Tahoma"/>
          <w:sz w:val="20"/>
          <w:szCs w:val="20"/>
        </w:rPr>
        <w:t xml:space="preserve">futura </w:t>
      </w:r>
      <w:r w:rsidRPr="00190C61">
        <w:rPr>
          <w:rFonts w:ascii="Tahoma" w:hAnsi="Tahoma" w:cs="Tahoma"/>
          <w:sz w:val="20"/>
          <w:szCs w:val="20"/>
        </w:rPr>
        <w:t>di successo, rifiutando  di considerare una qualche elementare forma di tutela, quale ad esempio il reimpiego delle risorse all’interno del Gruppo in caso di importanti o gravi eventi societari, quali ulteriori passaggi di proprietà, delocalizzazione della sede di lavoro, fallimento, etc..</w:t>
      </w:r>
    </w:p>
    <w:p w:rsidR="00422A9C" w:rsidRPr="00190C61" w:rsidRDefault="00422A9C" w:rsidP="00BC3B4B">
      <w:pPr>
        <w:jc w:val="both"/>
        <w:rPr>
          <w:rFonts w:ascii="Tahoma" w:hAnsi="Tahoma" w:cs="Tahoma"/>
          <w:sz w:val="20"/>
          <w:szCs w:val="20"/>
        </w:rPr>
      </w:pPr>
      <w:r w:rsidRPr="00190C61">
        <w:rPr>
          <w:rFonts w:ascii="Tahoma" w:hAnsi="Tahoma" w:cs="Tahoma"/>
          <w:sz w:val="20"/>
          <w:szCs w:val="20"/>
        </w:rPr>
        <w:t>In questa occasione viene mostrata</w:t>
      </w:r>
      <w:r w:rsidR="008F7639" w:rsidRPr="00190C61">
        <w:rPr>
          <w:rFonts w:ascii="Tahoma" w:hAnsi="Tahoma" w:cs="Tahoma"/>
          <w:sz w:val="20"/>
          <w:szCs w:val="20"/>
        </w:rPr>
        <w:t>, da parte aziendale,</w:t>
      </w:r>
      <w:r w:rsidRPr="00190C61">
        <w:rPr>
          <w:rFonts w:ascii="Tahoma" w:hAnsi="Tahoma" w:cs="Tahoma"/>
          <w:sz w:val="20"/>
          <w:szCs w:val="20"/>
        </w:rPr>
        <w:t xml:space="preserve"> in tutta la sua crudezza</w:t>
      </w:r>
      <w:r w:rsidR="008F7639" w:rsidRPr="00190C61">
        <w:rPr>
          <w:rFonts w:ascii="Tahoma" w:hAnsi="Tahoma" w:cs="Tahoma"/>
          <w:sz w:val="20"/>
          <w:szCs w:val="20"/>
        </w:rPr>
        <w:t>,</w:t>
      </w:r>
      <w:r w:rsidRPr="00190C61">
        <w:rPr>
          <w:rFonts w:ascii="Tahoma" w:hAnsi="Tahoma" w:cs="Tahoma"/>
          <w:sz w:val="20"/>
          <w:szCs w:val="20"/>
        </w:rPr>
        <w:t xml:space="preserve"> la sostanziale discriminazione tra i lavoratori che furono assunti da Autostrade prima del suo smembramento in differenti società e gli altri assunti in seguito, formalmente con gli stessi diritti, ma nella realtà continuamente penalizzati, dapprima con l’inamovibilità dalle società di appartenenza ed ora lasciati al loro destino nelle mani di un investitore straniero. La modalità di attuazione di questa vendita rappresenta inoltre per molti altri lavoratori che si trovano in situazioni societarie analoghe un pericoloso precedente, perché allo stesso modo l’Azienda potrebbe disfarsi di altri “pezzi” e dei lavoratori in essi compresi.</w:t>
      </w:r>
    </w:p>
    <w:p w:rsidR="00422A9C" w:rsidRPr="00190C61" w:rsidRDefault="00422A9C" w:rsidP="00BC3B4B">
      <w:pPr>
        <w:jc w:val="both"/>
        <w:rPr>
          <w:rFonts w:ascii="Tahoma" w:hAnsi="Tahoma" w:cs="Tahoma"/>
          <w:sz w:val="20"/>
          <w:szCs w:val="20"/>
        </w:rPr>
      </w:pPr>
      <w:r w:rsidRPr="00190C61">
        <w:rPr>
          <w:rFonts w:ascii="Tahoma" w:hAnsi="Tahoma" w:cs="Tahoma"/>
          <w:sz w:val="20"/>
          <w:szCs w:val="20"/>
        </w:rPr>
        <w:t>Per i lavoratori ceduti e le loro famiglie c’è la certezza della perdita del Contratto Collettivo Nazionale di Categoria</w:t>
      </w:r>
      <w:r w:rsidR="008F7639" w:rsidRPr="00190C61">
        <w:rPr>
          <w:rFonts w:ascii="Tahoma" w:hAnsi="Tahoma" w:cs="Tahoma"/>
          <w:sz w:val="20"/>
          <w:szCs w:val="20"/>
        </w:rPr>
        <w:t xml:space="preserve"> (passeranno al commercio?)</w:t>
      </w:r>
      <w:r w:rsidRPr="00190C61">
        <w:rPr>
          <w:rFonts w:ascii="Tahoma" w:hAnsi="Tahoma" w:cs="Tahoma"/>
          <w:sz w:val="20"/>
          <w:szCs w:val="20"/>
        </w:rPr>
        <w:t xml:space="preserve"> e di tutte le iniziative di welfare aziendale (polizza assicurativa sanitaria, asilo nido, iniziative rivolte ai figli dei dipendenti, visite mediche specialistiche, etc..) e la perdita dei benefit aziendali (mensa, telepass e viacard per i familiari dei dipendenti, dopolavoro, convenzioni con esercizi commerciali, etc...)</w:t>
      </w:r>
      <w:r w:rsidR="008F7639" w:rsidRPr="00190C61">
        <w:rPr>
          <w:rFonts w:ascii="Tahoma" w:hAnsi="Tahoma" w:cs="Tahoma"/>
          <w:sz w:val="20"/>
          <w:szCs w:val="20"/>
        </w:rPr>
        <w:t xml:space="preserve"> nonché della tutela della legge 300/70 relativa ad aziende con più di 15 dipendenti prevista dall’accordo di cessione del 2003,</w:t>
      </w:r>
      <w:r w:rsidRPr="00190C61">
        <w:rPr>
          <w:rFonts w:ascii="Tahoma" w:hAnsi="Tahoma" w:cs="Tahoma"/>
          <w:sz w:val="20"/>
          <w:szCs w:val="20"/>
        </w:rPr>
        <w:t xml:space="preserve"> senza avere</w:t>
      </w:r>
      <w:r w:rsidR="008F7639" w:rsidRPr="00190C61">
        <w:rPr>
          <w:rFonts w:ascii="Tahoma" w:hAnsi="Tahoma" w:cs="Tahoma"/>
          <w:sz w:val="20"/>
          <w:szCs w:val="20"/>
        </w:rPr>
        <w:t xml:space="preserve"> in cambio</w:t>
      </w:r>
      <w:r w:rsidRPr="00190C61">
        <w:rPr>
          <w:rFonts w:ascii="Tahoma" w:hAnsi="Tahoma" w:cs="Tahoma"/>
          <w:sz w:val="20"/>
          <w:szCs w:val="20"/>
        </w:rPr>
        <w:t xml:space="preserve"> </w:t>
      </w:r>
      <w:r w:rsidR="008F7639" w:rsidRPr="00190C61">
        <w:rPr>
          <w:rFonts w:ascii="Tahoma" w:hAnsi="Tahoma" w:cs="Tahoma"/>
          <w:sz w:val="20"/>
          <w:szCs w:val="20"/>
        </w:rPr>
        <w:t>nessuna</w:t>
      </w:r>
      <w:r w:rsidRPr="00190C61">
        <w:rPr>
          <w:rFonts w:ascii="Tahoma" w:hAnsi="Tahoma" w:cs="Tahoma"/>
          <w:sz w:val="20"/>
          <w:szCs w:val="20"/>
        </w:rPr>
        <w:t xml:space="preserve"> </w:t>
      </w:r>
      <w:r w:rsidR="008F7639" w:rsidRPr="00190C61">
        <w:rPr>
          <w:rFonts w:ascii="Tahoma" w:hAnsi="Tahoma" w:cs="Tahoma"/>
          <w:sz w:val="20"/>
          <w:szCs w:val="20"/>
        </w:rPr>
        <w:t>certezza di stabilità occupazionale per non parlare di prospettive</w:t>
      </w:r>
      <w:r w:rsidRPr="00190C61">
        <w:rPr>
          <w:rFonts w:ascii="Tahoma" w:hAnsi="Tahoma" w:cs="Tahoma"/>
          <w:sz w:val="20"/>
          <w:szCs w:val="20"/>
        </w:rPr>
        <w:t xml:space="preserve"> </w:t>
      </w:r>
      <w:r w:rsidR="008F7639" w:rsidRPr="00190C61">
        <w:rPr>
          <w:rFonts w:ascii="Tahoma" w:hAnsi="Tahoma" w:cs="Tahoma"/>
          <w:sz w:val="20"/>
          <w:szCs w:val="20"/>
        </w:rPr>
        <w:t>di</w:t>
      </w:r>
      <w:r w:rsidRPr="00190C61">
        <w:rPr>
          <w:rFonts w:ascii="Tahoma" w:hAnsi="Tahoma" w:cs="Tahoma"/>
          <w:sz w:val="20"/>
          <w:szCs w:val="20"/>
        </w:rPr>
        <w:t xml:space="preserve"> crescita professionale.</w:t>
      </w:r>
    </w:p>
    <w:p w:rsidR="00422A9C" w:rsidRPr="00190C61" w:rsidRDefault="00422A9C" w:rsidP="00BC3B4B">
      <w:pPr>
        <w:jc w:val="both"/>
        <w:rPr>
          <w:rFonts w:ascii="Tahoma" w:hAnsi="Tahoma" w:cs="Tahoma"/>
          <w:sz w:val="20"/>
          <w:szCs w:val="20"/>
        </w:rPr>
      </w:pPr>
      <w:r w:rsidRPr="00190C61">
        <w:rPr>
          <w:rFonts w:ascii="Tahoma" w:hAnsi="Tahoma" w:cs="Tahoma"/>
          <w:sz w:val="20"/>
          <w:szCs w:val="20"/>
        </w:rPr>
        <w:t>E’ questo il classico esempio di come la ricchezza di un’Azienda passi attraverso l’impoverimento sociale ed economico delle lavoratrici e dei lavoratori.</w:t>
      </w:r>
    </w:p>
    <w:p w:rsidR="00422A9C" w:rsidRPr="00190C61" w:rsidRDefault="00422A9C" w:rsidP="00BC3B4B">
      <w:pPr>
        <w:jc w:val="both"/>
        <w:rPr>
          <w:rFonts w:ascii="Tahoma" w:hAnsi="Tahoma" w:cs="Tahoma"/>
          <w:sz w:val="20"/>
          <w:szCs w:val="20"/>
        </w:rPr>
      </w:pPr>
      <w:r w:rsidRPr="00190C61">
        <w:rPr>
          <w:rFonts w:ascii="Tahoma" w:hAnsi="Tahoma" w:cs="Tahoma"/>
          <w:sz w:val="20"/>
          <w:szCs w:val="20"/>
        </w:rPr>
        <w:t xml:space="preserve">Le scriventi RSA, solidali con tutti i lavoratori della Società </w:t>
      </w:r>
      <w:proofErr w:type="spellStart"/>
      <w:r w:rsidRPr="00190C61">
        <w:rPr>
          <w:rFonts w:ascii="Tahoma" w:hAnsi="Tahoma" w:cs="Tahoma"/>
          <w:sz w:val="20"/>
          <w:szCs w:val="20"/>
        </w:rPr>
        <w:t>Tower</w:t>
      </w:r>
      <w:proofErr w:type="spellEnd"/>
      <w:r w:rsidRPr="00190C61">
        <w:rPr>
          <w:rFonts w:ascii="Tahoma" w:hAnsi="Tahoma" w:cs="Tahoma"/>
          <w:sz w:val="20"/>
          <w:szCs w:val="20"/>
        </w:rPr>
        <w:t xml:space="preserve"> Co, esprimono la più profonda contrarietà sul modo di agire  del management di </w:t>
      </w:r>
      <w:proofErr w:type="spellStart"/>
      <w:r w:rsidRPr="00190C61">
        <w:rPr>
          <w:rFonts w:ascii="Tahoma" w:hAnsi="Tahoma" w:cs="Tahoma"/>
          <w:b/>
          <w:sz w:val="20"/>
          <w:szCs w:val="20"/>
        </w:rPr>
        <w:t>Atlantia</w:t>
      </w:r>
      <w:proofErr w:type="spellEnd"/>
      <w:r w:rsidRPr="00190C61">
        <w:rPr>
          <w:rFonts w:ascii="Tahoma" w:hAnsi="Tahoma" w:cs="Tahoma"/>
          <w:sz w:val="20"/>
          <w:szCs w:val="20"/>
        </w:rPr>
        <w:t xml:space="preserve">, teso solo a valorizzare il proprio portafoglio con operazioni che confermano i dubbi legati  all’intero progetto di </w:t>
      </w:r>
      <w:proofErr w:type="spellStart"/>
      <w:r w:rsidRPr="00190C61">
        <w:rPr>
          <w:rFonts w:ascii="Tahoma" w:hAnsi="Tahoma" w:cs="Tahoma"/>
          <w:sz w:val="20"/>
          <w:szCs w:val="20"/>
        </w:rPr>
        <w:t>societarizzazioni</w:t>
      </w:r>
      <w:proofErr w:type="spellEnd"/>
      <w:r w:rsidRPr="00190C61">
        <w:rPr>
          <w:rFonts w:ascii="Tahoma" w:hAnsi="Tahoma" w:cs="Tahoma"/>
          <w:sz w:val="20"/>
          <w:szCs w:val="20"/>
        </w:rPr>
        <w:t xml:space="preserve"> nato più di dieci anni fa con la costituzione delle società </w:t>
      </w:r>
      <w:proofErr w:type="spellStart"/>
      <w:r w:rsidRPr="00190C61">
        <w:rPr>
          <w:rFonts w:ascii="Tahoma" w:hAnsi="Tahoma" w:cs="Tahoma"/>
          <w:sz w:val="20"/>
          <w:szCs w:val="20"/>
        </w:rPr>
        <w:t>Essediesse</w:t>
      </w:r>
      <w:proofErr w:type="spellEnd"/>
      <w:r w:rsidRPr="00190C61">
        <w:rPr>
          <w:rFonts w:ascii="Tahoma" w:hAnsi="Tahoma" w:cs="Tahoma"/>
          <w:sz w:val="20"/>
          <w:szCs w:val="20"/>
        </w:rPr>
        <w:t xml:space="preserve">, </w:t>
      </w:r>
      <w:proofErr w:type="spellStart"/>
      <w:r w:rsidRPr="00190C61">
        <w:rPr>
          <w:rFonts w:ascii="Tahoma" w:hAnsi="Tahoma" w:cs="Tahoma"/>
          <w:sz w:val="20"/>
          <w:szCs w:val="20"/>
        </w:rPr>
        <w:t>Tech</w:t>
      </w:r>
      <w:proofErr w:type="spellEnd"/>
      <w:r w:rsidRPr="00190C61">
        <w:rPr>
          <w:rFonts w:ascii="Tahoma" w:hAnsi="Tahoma" w:cs="Tahoma"/>
          <w:sz w:val="20"/>
          <w:szCs w:val="20"/>
        </w:rPr>
        <w:t xml:space="preserve">, Ad </w:t>
      </w:r>
      <w:proofErr w:type="spellStart"/>
      <w:r w:rsidRPr="00190C61">
        <w:rPr>
          <w:rFonts w:ascii="Tahoma" w:hAnsi="Tahoma" w:cs="Tahoma"/>
          <w:sz w:val="20"/>
          <w:szCs w:val="20"/>
        </w:rPr>
        <w:t>Moving</w:t>
      </w:r>
      <w:proofErr w:type="spellEnd"/>
      <w:r w:rsidRPr="00190C61">
        <w:rPr>
          <w:rFonts w:ascii="Tahoma" w:hAnsi="Tahoma" w:cs="Tahoma"/>
          <w:sz w:val="20"/>
          <w:szCs w:val="20"/>
        </w:rPr>
        <w:t>, Telepass… e chi più ne ha più ne metta !!!</w:t>
      </w:r>
    </w:p>
    <w:p w:rsidR="00190C61" w:rsidRDefault="00190C61" w:rsidP="0081186C">
      <w:pPr>
        <w:tabs>
          <w:tab w:val="left" w:pos="3844"/>
          <w:tab w:val="left" w:pos="5898"/>
        </w:tabs>
        <w:rPr>
          <w:sz w:val="32"/>
          <w:szCs w:val="32"/>
        </w:rPr>
      </w:pPr>
      <w:r>
        <w:tab/>
      </w:r>
    </w:p>
    <w:p w:rsidR="00422A9C" w:rsidRPr="00190C61" w:rsidRDefault="00190C61" w:rsidP="00190C61">
      <w:pPr>
        <w:rPr>
          <w:sz w:val="24"/>
          <w:szCs w:val="24"/>
        </w:rPr>
      </w:pPr>
      <w:r w:rsidRPr="00190C61">
        <w:rPr>
          <w:sz w:val="24"/>
          <w:szCs w:val="24"/>
        </w:rPr>
        <w:t>Sede 7 Luglio 2014</w:t>
      </w:r>
    </w:p>
    <w:sectPr w:rsidR="00422A9C" w:rsidRPr="00190C61" w:rsidSect="009C7928">
      <w:pgSz w:w="11906" w:h="16838"/>
      <w:pgMar w:top="1417" w:right="1134" w:bottom="1134" w:left="1134"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84474" w:rsidRDefault="00484474" w:rsidP="004065FE">
      <w:pPr>
        <w:spacing w:after="0" w:line="240" w:lineRule="auto"/>
      </w:pPr>
      <w:r>
        <w:separator/>
      </w:r>
    </w:p>
  </w:endnote>
  <w:endnote w:type="continuationSeparator" w:id="0">
    <w:p w:rsidR="00484474" w:rsidRDefault="00484474" w:rsidP="004065F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erdana">
    <w:panose1 w:val="020B0604030504040204"/>
    <w:charset w:val="00"/>
    <w:family w:val="swiss"/>
    <w:pitch w:val="variable"/>
    <w:sig w:usb0="A10006FF" w:usb1="4000205B" w:usb2="00000010" w:usb3="00000000" w:csb0="000001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84474" w:rsidRDefault="00484474" w:rsidP="004065FE">
      <w:pPr>
        <w:spacing w:after="0" w:line="240" w:lineRule="auto"/>
      </w:pPr>
      <w:r>
        <w:separator/>
      </w:r>
    </w:p>
  </w:footnote>
  <w:footnote w:type="continuationSeparator" w:id="0">
    <w:p w:rsidR="00484474" w:rsidRDefault="00484474" w:rsidP="004065FE">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F4B8CAEA"/>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B7302DC0"/>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547EFC60"/>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8AA43E74"/>
    <w:lvl w:ilvl="0">
      <w:start w:val="1"/>
      <w:numFmt w:val="decimal"/>
      <w:lvlText w:val="%1."/>
      <w:lvlJc w:val="left"/>
      <w:pPr>
        <w:tabs>
          <w:tab w:val="num" w:pos="643"/>
        </w:tabs>
        <w:ind w:left="643" w:hanging="360"/>
      </w:pPr>
      <w:rPr>
        <w:rFonts w:cs="Times New Roman"/>
      </w:rPr>
    </w:lvl>
  </w:abstractNum>
  <w:abstractNum w:abstractNumId="4">
    <w:nsid w:val="FFFFFF80"/>
    <w:multiLevelType w:val="singleLevel"/>
    <w:tmpl w:val="0882C378"/>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5E96F39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10A013B2"/>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2AEC087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7682EFBC"/>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49B07916"/>
    <w:lvl w:ilvl="0">
      <w:start w:val="1"/>
      <w:numFmt w:val="bullet"/>
      <w:lvlText w:val=""/>
      <w:lvlJc w:val="left"/>
      <w:pPr>
        <w:tabs>
          <w:tab w:val="num" w:pos="360"/>
        </w:tabs>
        <w:ind w:left="360" w:hanging="360"/>
      </w:pPr>
      <w:rPr>
        <w:rFonts w:ascii="Symbol" w:hAnsi="Symbol" w:hint="default"/>
      </w:r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227"/>
  <w:proofState w:spelling="clean"/>
  <w:doNotTrackMoves/>
  <w:defaultTabStop w:val="708"/>
  <w:hyphenationZone w:val="283"/>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BF4B3B"/>
    <w:rsid w:val="00001DFE"/>
    <w:rsid w:val="00097A84"/>
    <w:rsid w:val="000A7C98"/>
    <w:rsid w:val="000B6FCA"/>
    <w:rsid w:val="000E0222"/>
    <w:rsid w:val="000F1F5A"/>
    <w:rsid w:val="00106191"/>
    <w:rsid w:val="00134466"/>
    <w:rsid w:val="00152E0B"/>
    <w:rsid w:val="00190C61"/>
    <w:rsid w:val="001D4EEB"/>
    <w:rsid w:val="00217B4A"/>
    <w:rsid w:val="002414EC"/>
    <w:rsid w:val="00300293"/>
    <w:rsid w:val="004065FE"/>
    <w:rsid w:val="00422A9C"/>
    <w:rsid w:val="00484474"/>
    <w:rsid w:val="00495CF3"/>
    <w:rsid w:val="00553618"/>
    <w:rsid w:val="00556095"/>
    <w:rsid w:val="00631961"/>
    <w:rsid w:val="006A312B"/>
    <w:rsid w:val="006B5C18"/>
    <w:rsid w:val="006E5051"/>
    <w:rsid w:val="007217B8"/>
    <w:rsid w:val="00741427"/>
    <w:rsid w:val="00796ADA"/>
    <w:rsid w:val="007B308D"/>
    <w:rsid w:val="0081186C"/>
    <w:rsid w:val="008311FD"/>
    <w:rsid w:val="008B48C8"/>
    <w:rsid w:val="008F7639"/>
    <w:rsid w:val="00901C84"/>
    <w:rsid w:val="0098764A"/>
    <w:rsid w:val="009C7928"/>
    <w:rsid w:val="00A0731E"/>
    <w:rsid w:val="00B131B3"/>
    <w:rsid w:val="00BB701B"/>
    <w:rsid w:val="00BC3B4B"/>
    <w:rsid w:val="00BF4B3B"/>
    <w:rsid w:val="00C826F7"/>
    <w:rsid w:val="00C8286B"/>
    <w:rsid w:val="00D27AFC"/>
    <w:rsid w:val="00D5371A"/>
    <w:rsid w:val="00D54C23"/>
    <w:rsid w:val="00D648CF"/>
    <w:rsid w:val="00D71F71"/>
    <w:rsid w:val="00D954B7"/>
    <w:rsid w:val="00E36F70"/>
    <w:rsid w:val="00EE18CD"/>
    <w:rsid w:val="00F3273E"/>
    <w:rsid w:val="00F71A6F"/>
    <w:rsid w:val="00FA028F"/>
    <w:rsid w:val="00FB16C8"/>
    <w:rsid w:val="00FB7F10"/>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Calibri" w:hAnsi="Calibri" w:cs="Times New Roman"/>
        <w:lang w:val="it-IT" w:eastAsia="it-IT"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rsid w:val="009C7928"/>
    <w:pPr>
      <w:spacing w:after="200" w:line="276" w:lineRule="auto"/>
    </w:pPr>
    <w:rPr>
      <w:sz w:val="22"/>
      <w:szCs w:val="22"/>
      <w:lang w:eastAsia="en-US"/>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paragraph" w:styleId="Intestazione">
    <w:name w:val="header"/>
    <w:basedOn w:val="Normale"/>
    <w:link w:val="IntestazioneCarattere"/>
    <w:uiPriority w:val="99"/>
    <w:semiHidden/>
    <w:rsid w:val="004065FE"/>
    <w:pPr>
      <w:tabs>
        <w:tab w:val="center" w:pos="4819"/>
        <w:tab w:val="right" w:pos="9638"/>
      </w:tabs>
      <w:spacing w:after="0" w:line="240" w:lineRule="auto"/>
    </w:pPr>
  </w:style>
  <w:style w:type="character" w:customStyle="1" w:styleId="IntestazioneCarattere">
    <w:name w:val="Intestazione Carattere"/>
    <w:link w:val="Intestazione"/>
    <w:uiPriority w:val="99"/>
    <w:semiHidden/>
    <w:locked/>
    <w:rsid w:val="004065FE"/>
    <w:rPr>
      <w:rFonts w:cs="Times New Roman"/>
    </w:rPr>
  </w:style>
  <w:style w:type="paragraph" w:styleId="Pidipagina">
    <w:name w:val="footer"/>
    <w:basedOn w:val="Normale"/>
    <w:link w:val="PidipaginaCarattere"/>
    <w:uiPriority w:val="99"/>
    <w:semiHidden/>
    <w:rsid w:val="004065FE"/>
    <w:pPr>
      <w:tabs>
        <w:tab w:val="center" w:pos="4819"/>
        <w:tab w:val="right" w:pos="9638"/>
      </w:tabs>
      <w:spacing w:after="0" w:line="240" w:lineRule="auto"/>
    </w:pPr>
  </w:style>
  <w:style w:type="character" w:customStyle="1" w:styleId="PidipaginaCarattere">
    <w:name w:val="Piè di pagina Carattere"/>
    <w:link w:val="Pidipagina"/>
    <w:uiPriority w:val="99"/>
    <w:semiHidden/>
    <w:locked/>
    <w:rsid w:val="004065FE"/>
    <w:rPr>
      <w:rFonts w:cs="Times New Roman"/>
    </w:rPr>
  </w:style>
  <w:style w:type="paragraph" w:styleId="Titolo">
    <w:name w:val="Title"/>
    <w:basedOn w:val="Normale"/>
    <w:link w:val="TitoloCarattere"/>
    <w:qFormat/>
    <w:locked/>
    <w:rsid w:val="00631961"/>
    <w:pPr>
      <w:spacing w:after="0" w:line="240" w:lineRule="auto"/>
      <w:jc w:val="center"/>
    </w:pPr>
    <w:rPr>
      <w:rFonts w:ascii="Times New Roman" w:eastAsia="Times New Roman" w:hAnsi="Times New Roman"/>
      <w:b/>
      <w:i/>
      <w:sz w:val="36"/>
      <w:szCs w:val="36"/>
      <w:lang w:eastAsia="it-IT"/>
    </w:rPr>
  </w:style>
  <w:style w:type="character" w:customStyle="1" w:styleId="TitoloCarattere">
    <w:name w:val="Titolo Carattere"/>
    <w:link w:val="Titolo"/>
    <w:rsid w:val="00631961"/>
    <w:rPr>
      <w:rFonts w:ascii="Times New Roman" w:eastAsia="Times New Roman" w:hAnsi="Times New Roman"/>
      <w:b/>
      <w:i/>
      <w:sz w:val="36"/>
      <w:szCs w:val="3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it-IT" w:eastAsia="it-IT"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e">
    <w:name w:val="Normal"/>
    <w:qFormat/>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0965634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5.jpe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hyperlink" Target="http://www.cafugl.it/pubblica.as"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image" Target="media/image3.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470</Words>
  <Characters>2684</Characters>
  <Application>Microsoft Office Word</Application>
  <DocSecurity>0</DocSecurity>
  <Lines>22</Lines>
  <Paragraphs>6</Paragraphs>
  <ScaleCrop>false</ScaleCrop>
  <HeadingPairs>
    <vt:vector size="2" baseType="variant">
      <vt:variant>
        <vt:lpstr>Titolo</vt:lpstr>
      </vt:variant>
      <vt:variant>
        <vt:i4>1</vt:i4>
      </vt:variant>
    </vt:vector>
  </HeadingPairs>
  <TitlesOfParts>
    <vt:vector size="1" baseType="lpstr">
      <vt:lpstr>BOZZA</vt:lpstr>
    </vt:vector>
  </TitlesOfParts>
  <Company>Autostrade per l'Italia S.p.A.</Company>
  <LinksUpToDate>false</LinksUpToDate>
  <CharactersWithSpaces>3148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BOZZA</dc:title>
  <dc:creator>08794191</dc:creator>
  <cp:lastModifiedBy>Paolo Collini</cp:lastModifiedBy>
  <cp:revision>2</cp:revision>
  <dcterms:created xsi:type="dcterms:W3CDTF">2014-07-07T16:52:00Z</dcterms:created>
  <dcterms:modified xsi:type="dcterms:W3CDTF">2014-07-07T16:52:00Z</dcterms:modified>
</cp:coreProperties>
</file>